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ascii="Arial" w:hAnsi="Arial" w:eastAsia="宋体"/>
          <w:b/>
          <w:i/>
          <w:sz w:val="24"/>
          <w:lang w:val="en-US"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hint="eastAsia" w:ascii="Arial" w:hAnsi="Arial" w:cs="Arial"/>
          <w:b/>
          <w:sz w:val="24"/>
          <w:lang w:eastAsia="zh-CN"/>
        </w:rPr>
        <w:t>#9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lang w:eastAsia="zh-CN"/>
        </w:rPr>
        <w:t>-e</w:t>
      </w:r>
      <w:r>
        <w:rPr>
          <w:rFonts w:ascii="Arial" w:hAnsi="Arial" w:eastAsia="MS Mincho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</w:t>
      </w:r>
      <w:r>
        <w:rPr>
          <w:rFonts w:hint="eastAsia" w:ascii="Arial" w:hAnsi="Arial"/>
          <w:b/>
          <w:sz w:val="24"/>
          <w:lang w:val="en-US" w:eastAsia="zh-CN"/>
        </w:rPr>
        <w:t>109765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/>
          <w:b/>
          <w:sz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lang w:eastAsia="zh-CN"/>
        </w:rPr>
        <w:t>1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 w:eastAsia="宋体"/>
          <w:b/>
          <w:sz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May</w:t>
      </w:r>
      <w:r>
        <w:rPr>
          <w:rFonts w:ascii="Arial" w:hAnsi="Arial" w:eastAsia="宋体"/>
          <w:b/>
          <w:sz w:val="24"/>
          <w:lang w:eastAsia="zh-CN"/>
        </w:rPr>
        <w:t xml:space="preserve">- </w:t>
      </w:r>
      <w:r>
        <w:rPr>
          <w:rFonts w:hint="eastAsia" w:ascii="Arial" w:hAnsi="Arial" w:eastAsia="宋体"/>
          <w:b/>
          <w:sz w:val="24"/>
          <w:lang w:eastAsia="zh-CN"/>
        </w:rPr>
        <w:t>2</w:t>
      </w:r>
      <w:r>
        <w:rPr>
          <w:rFonts w:hint="eastAsia" w:ascii="Arial" w:hAnsi="Arial" w:eastAsia="宋体"/>
          <w:b/>
          <w:sz w:val="24"/>
          <w:lang w:val="en-US" w:eastAsia="zh-CN"/>
        </w:rPr>
        <w:t>7</w:t>
      </w:r>
      <w:r>
        <w:rPr>
          <w:rFonts w:ascii="Arial" w:hAnsi="Arial" w:eastAsia="宋体"/>
          <w:b/>
          <w:sz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May</w:t>
      </w:r>
      <w:r>
        <w:rPr>
          <w:rFonts w:ascii="Arial" w:hAnsi="Arial" w:eastAsia="宋体"/>
          <w:b/>
          <w:sz w:val="24"/>
          <w:lang w:eastAsia="zh-CN"/>
        </w:rPr>
        <w:t>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  <w:bookmarkStart w:id="0" w:name="_GoBack"/>
      <w:bookmarkEnd w:id="0"/>
    </w:p>
    <w:p>
      <w:pPr>
        <w:spacing w:after="120"/>
        <w:ind w:left="1985" w:hanging="1985"/>
        <w:rPr>
          <w:rFonts w:hint="eastAsia" w:ascii="Arial" w:hAnsi="Arial" w:eastAsia="MS Mincho"/>
          <w:b/>
          <w:sz w:val="24"/>
          <w:lang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="宋体"/>
          <w:b/>
          <w:sz w:val="24"/>
          <w:lang w:eastAsia="zh-CN"/>
        </w:rPr>
        <w:t xml:space="preserve">          </w:t>
      </w:r>
      <w:r>
        <w:rPr>
          <w:rFonts w:hint="eastAsia" w:ascii="Arial" w:hAnsi="Arial" w:eastAsia="MS Mincho"/>
          <w:b/>
          <w:sz w:val="24"/>
          <w:lang w:eastAsia="zh-CN"/>
        </w:rPr>
        <w:t>Discussion on PDSCH requirements for CA in FR1 HST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sz w:val="24"/>
          <w:lang w:val="en-US" w:eastAsia="zh-CN"/>
        </w:rPr>
        <w:t>9.7.3.2</w:t>
      </w:r>
    </w:p>
    <w:p>
      <w:pPr>
        <w:pStyle w:val="15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In the RAN4 98e-bis meeting, several issues of PDSCH requirements for CA for FR1 HST were discussed but there are some issues open in the agreed WF[1] as below.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 xml:space="preserve">In this contribution, some discussion on </w:t>
      </w:r>
      <w:r>
        <w:rPr>
          <w:rFonts w:hint="eastAsia" w:eastAsia="宋体"/>
          <w:b w:val="0"/>
          <w:sz w:val="21"/>
          <w:szCs w:val="21"/>
          <w:lang w:val="en-US" w:eastAsia="zh-CN"/>
        </w:rPr>
        <w:t xml:space="preserve">PDSCH requirements for CA for 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FR</w:t>
      </w:r>
      <w:r>
        <w:rPr>
          <w:rFonts w:hint="eastAsia" w:eastAsia="宋体"/>
          <w:b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 xml:space="preserve"> HST</w:t>
      </w:r>
      <w:r>
        <w:rPr>
          <w:rFonts w:hint="eastAsia" w:eastAsia="宋体"/>
          <w:sz w:val="21"/>
          <w:szCs w:val="21"/>
          <w:lang w:val="en-US" w:eastAsia="zh-CN"/>
        </w:rPr>
        <w:t xml:space="preserve"> are provided.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tbl>
      <w:tblPr>
        <w:tblStyle w:val="21"/>
        <w:tblW w:w="95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numPr>
                <w:ilvl w:val="-1"/>
                <w:numId w:val="0"/>
              </w:numPr>
              <w:tabs>
                <w:tab w:val="left" w:pos="1800"/>
              </w:tabs>
              <w:autoSpaceDE w:val="0"/>
              <w:autoSpaceDN w:val="0"/>
              <w:adjustRightInd w:val="0"/>
              <w:spacing w:after="0"/>
              <w:ind w:left="0" w:firstLine="0"/>
              <w:rPr>
                <w:rFonts w:hint="eastAsia" w:eastAsia="宋体"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sz w:val="21"/>
                <w:szCs w:val="21"/>
                <w:lang w:eastAsia="zh-CN"/>
              </w:rPr>
              <w:t>UE capability signalling</w:t>
            </w:r>
            <w:r>
              <w:rPr>
                <w:rFonts w:hint="eastAsia" w:eastAsia="宋体"/>
                <w:i/>
                <w:iCs/>
                <w:sz w:val="21"/>
                <w:szCs w:val="21"/>
                <w:lang w:val="en-US" w:eastAsia="zh-CN"/>
              </w:rPr>
              <w:t xml:space="preserve">: </w:t>
            </w:r>
          </w:p>
          <w:p>
            <w:pPr>
              <w:numPr>
                <w:ilvl w:val="1"/>
                <w:numId w:val="4"/>
              </w:numPr>
              <w:tabs>
                <w:tab w:val="left" w:pos="1800"/>
                <w:tab w:val="clear" w:pos="1080"/>
              </w:tabs>
              <w:autoSpaceDE w:val="0"/>
              <w:autoSpaceDN w:val="0"/>
              <w:adjustRightInd w:val="0"/>
              <w:spacing w:after="0"/>
              <w:rPr>
                <w:rFonts w:hint="eastAsia" w:eastAsia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i/>
                <w:iCs/>
                <w:sz w:val="21"/>
                <w:szCs w:val="21"/>
                <w:lang w:eastAsia="zh-CN"/>
              </w:rPr>
              <w:t>Option 1: Existing UE capability can cover CA scenario</w:t>
            </w:r>
          </w:p>
          <w:p>
            <w:pPr>
              <w:numPr>
                <w:ilvl w:val="1"/>
                <w:numId w:val="4"/>
              </w:numPr>
              <w:tabs>
                <w:tab w:val="left" w:pos="1800"/>
                <w:tab w:val="clear" w:pos="1080"/>
              </w:tabs>
              <w:autoSpaceDE w:val="0"/>
              <w:autoSpaceDN w:val="0"/>
              <w:adjustRightInd w:val="0"/>
              <w:spacing w:after="0"/>
              <w:rPr>
                <w:rFonts w:hint="eastAsia" w:eastAsia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i/>
                <w:iCs/>
                <w:sz w:val="21"/>
                <w:szCs w:val="21"/>
                <w:lang w:eastAsia="zh-CN"/>
              </w:rPr>
              <w:t>Option 2:Define UE capability signaling for UE supporting HST-SFN CA and HST-DPS CA</w:t>
            </w:r>
          </w:p>
          <w:p>
            <w:pPr>
              <w:numPr>
                <w:ilvl w:val="-1"/>
                <w:numId w:val="0"/>
              </w:numPr>
              <w:tabs>
                <w:tab w:val="left" w:pos="1800"/>
              </w:tabs>
              <w:autoSpaceDE w:val="0"/>
              <w:autoSpaceDN w:val="0"/>
              <w:adjustRightInd w:val="0"/>
              <w:spacing w:after="0"/>
              <w:ind w:left="0" w:firstLine="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>
      <w:pPr>
        <w:pStyle w:val="29"/>
        <w:suppressAutoHyphens/>
        <w:spacing w:line="80" w:lineRule="exact"/>
        <w:ind w:firstLine="0" w:firstLineChars="0"/>
        <w:rPr>
          <w:rFonts w:hint="eastAsia" w:ascii="Times New Roman" w:hAnsi="Times New Roman"/>
          <w:bCs/>
          <w:color w:val="auto"/>
          <w:kern w:val="0"/>
          <w:szCs w:val="21"/>
          <w:lang w:val="en-US" w:eastAsia="zh-CN"/>
        </w:rPr>
      </w:pPr>
    </w:p>
    <w:p>
      <w:pPr>
        <w:pStyle w:val="29"/>
        <w:ind w:firstLine="0" w:firstLineChars="0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kern w:val="0"/>
          <w:szCs w:val="21"/>
        </w:rPr>
        <w:t xml:space="preserve">Regarding </w:t>
      </w:r>
      <w:r>
        <w:rPr>
          <w:rFonts w:hint="eastAsia" w:ascii="Times New Roman" w:hAnsi="Times New Roman"/>
          <w:bCs/>
          <w:kern w:val="0"/>
          <w:szCs w:val="21"/>
        </w:rPr>
        <w:t>UE capability</w:t>
      </w:r>
      <w:r>
        <w:rPr>
          <w:rFonts w:ascii="Times New Roman" w:hAnsi="Times New Roman"/>
          <w:bCs/>
          <w:kern w:val="0"/>
          <w:szCs w:val="21"/>
        </w:rPr>
        <w:t>, a</w:t>
      </w:r>
      <w:r>
        <w:rPr>
          <w:rFonts w:hint="eastAsia" w:ascii="Times New Roman" w:hAnsi="Times New Roman"/>
          <w:bCs/>
          <w:kern w:val="0"/>
          <w:szCs w:val="21"/>
        </w:rPr>
        <w:t xml:space="preserve"> UE capability indicator </w:t>
      </w:r>
      <w:r>
        <w:rPr>
          <w:rFonts w:hint="default" w:ascii="Arial" w:hAnsi="Arial"/>
          <w:b/>
          <w:bCs w:val="0"/>
          <w:i/>
          <w:iCs w:val="0"/>
          <w:kern w:val="0"/>
          <w:szCs w:val="21"/>
          <w:lang w:val="en-GB" w:eastAsia="en-US"/>
        </w:rPr>
        <w:t>demodulationEnhancement-r16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 xml:space="preserve">is </w:t>
      </w:r>
      <w:r>
        <w:rPr>
          <w:rFonts w:hint="eastAsia" w:ascii="Times New Roman" w:hAnsi="Times New Roman"/>
          <w:bCs/>
          <w:kern w:val="0"/>
          <w:szCs w:val="21"/>
        </w:rPr>
        <w:t xml:space="preserve">defined in 38.306 </w:t>
      </w:r>
      <w:r>
        <w:rPr>
          <w:rFonts w:ascii="Times New Roman" w:hAnsi="Times New Roman"/>
          <w:bCs/>
          <w:kern w:val="0"/>
          <w:szCs w:val="21"/>
        </w:rPr>
        <w:t xml:space="preserve">and it </w:t>
      </w:r>
      <w:r>
        <w:rPr>
          <w:rFonts w:hint="eastAsia" w:ascii="Times New Roman" w:hAnsi="Times New Roman"/>
          <w:bCs/>
          <w:kern w:val="0"/>
          <w:szCs w:val="21"/>
        </w:rPr>
        <w:t>is UE specific</w:t>
      </w:r>
      <w:r>
        <w:rPr>
          <w:rFonts w:ascii="Times New Roman" w:hAnsi="Times New Roman"/>
          <w:bCs/>
          <w:kern w:val="0"/>
          <w:szCs w:val="21"/>
        </w:rPr>
        <w:t>.</w:t>
      </w:r>
      <w:r>
        <w:rPr>
          <w:rFonts w:hint="eastAsia" w:ascii="Times New Roman" w:hAnsi="Times New Roman"/>
          <w:bCs/>
          <w:kern w:val="0"/>
          <w:szCs w:val="21"/>
        </w:rPr>
        <w:t xml:space="preserve"> </w:t>
      </w:r>
      <w:r>
        <w:rPr>
          <w:rFonts w:ascii="Times New Roman" w:hAnsi="Times New Roman"/>
          <w:bCs/>
          <w:kern w:val="0"/>
          <w:szCs w:val="21"/>
        </w:rPr>
        <w:t>I</w:t>
      </w:r>
      <w:r>
        <w:rPr>
          <w:rFonts w:hint="eastAsia" w:ascii="Times New Roman" w:hAnsi="Times New Roman"/>
          <w:bCs/>
          <w:kern w:val="0"/>
          <w:szCs w:val="21"/>
        </w:rPr>
        <w:t xml:space="preserve">n our understanding, this UE capability </w:t>
      </w:r>
      <w:r>
        <w:rPr>
          <w:rFonts w:ascii="Times New Roman" w:hAnsi="Times New Roman"/>
          <w:bCs/>
          <w:kern w:val="0"/>
          <w:szCs w:val="21"/>
        </w:rPr>
        <w:t>by definition is applicable to</w:t>
      </w:r>
      <w:r>
        <w:rPr>
          <w:rFonts w:hint="eastAsia" w:ascii="Times New Roman" w:hAnsi="Times New Roman"/>
          <w:bCs/>
          <w:kern w:val="0"/>
          <w:szCs w:val="21"/>
        </w:rPr>
        <w:t xml:space="preserve"> all CC</w:t>
      </w:r>
      <w:r>
        <w:rPr>
          <w:rFonts w:ascii="Times New Roman" w:hAnsi="Times New Roman"/>
          <w:bCs/>
          <w:kern w:val="0"/>
          <w:szCs w:val="21"/>
        </w:rPr>
        <w:t>s</w:t>
      </w:r>
      <w:r>
        <w:rPr>
          <w:rFonts w:hint="eastAsia" w:ascii="Times New Roman" w:hAnsi="Times New Roman"/>
          <w:bCs/>
          <w:kern w:val="0"/>
          <w:szCs w:val="21"/>
        </w:rPr>
        <w:t xml:space="preserve"> supported by </w:t>
      </w:r>
      <w:r>
        <w:rPr>
          <w:rFonts w:ascii="Times New Roman" w:hAnsi="Times New Roman"/>
          <w:bCs/>
          <w:kern w:val="0"/>
          <w:szCs w:val="21"/>
        </w:rPr>
        <w:t xml:space="preserve">the </w:t>
      </w:r>
      <w:r>
        <w:rPr>
          <w:rFonts w:hint="eastAsia" w:ascii="Times New Roman" w:hAnsi="Times New Roman"/>
          <w:bCs/>
          <w:kern w:val="0"/>
          <w:szCs w:val="21"/>
        </w:rPr>
        <w:t xml:space="preserve">UE when the capability is reported, </w:t>
      </w:r>
      <w:r>
        <w:rPr>
          <w:rFonts w:ascii="Times New Roman" w:hAnsi="Times New Roman"/>
          <w:bCs/>
          <w:kern w:val="0"/>
          <w:szCs w:val="21"/>
        </w:rPr>
        <w:t xml:space="preserve">including </w:t>
      </w:r>
      <w:r>
        <w:rPr>
          <w:rFonts w:hint="eastAsia" w:ascii="Times New Roman" w:hAnsi="Times New Roman"/>
          <w:bCs/>
          <w:kern w:val="0"/>
          <w:szCs w:val="21"/>
        </w:rPr>
        <w:t>different CC transmi</w:t>
      </w:r>
      <w:r>
        <w:rPr>
          <w:rFonts w:ascii="Times New Roman" w:hAnsi="Times New Roman"/>
          <w:bCs/>
          <w:kern w:val="0"/>
          <w:szCs w:val="21"/>
        </w:rPr>
        <w:t>ssion schemes</w:t>
      </w:r>
      <w:r>
        <w:rPr>
          <w:rFonts w:hint="eastAsia" w:ascii="Times New Roman" w:hAnsi="Times New Roman"/>
          <w:bCs/>
          <w:kern w:val="0"/>
          <w:szCs w:val="21"/>
        </w:rPr>
        <w:t xml:space="preserve"> from different </w:t>
      </w:r>
      <w:r>
        <w:rPr>
          <w:rFonts w:ascii="Times New Roman" w:hAnsi="Times New Roman"/>
          <w:bCs/>
          <w:kern w:val="0"/>
          <w:szCs w:val="21"/>
        </w:rPr>
        <w:t>cells</w:t>
      </w:r>
      <w:r>
        <w:rPr>
          <w:rFonts w:hint="eastAsia" w:ascii="Times New Roman" w:hAnsi="Times New Roman"/>
          <w:bCs/>
          <w:kern w:val="0"/>
          <w:szCs w:val="21"/>
        </w:rPr>
        <w:t xml:space="preserve"> in </w:t>
      </w:r>
      <w:r>
        <w:rPr>
          <w:rFonts w:ascii="Times New Roman" w:hAnsi="Times New Roman"/>
          <w:bCs/>
          <w:kern w:val="0"/>
          <w:szCs w:val="21"/>
        </w:rPr>
        <w:t xml:space="preserve">a </w:t>
      </w:r>
      <w:r>
        <w:rPr>
          <w:rFonts w:hint="eastAsia" w:ascii="Times New Roman" w:hAnsi="Times New Roman"/>
          <w:bCs/>
          <w:kern w:val="0"/>
          <w:szCs w:val="21"/>
        </w:rPr>
        <w:t>CA scenario</w:t>
      </w:r>
      <w:r>
        <w:rPr>
          <w:rFonts w:ascii="Times New Roman" w:hAnsi="Times New Roman"/>
          <w:bCs/>
          <w:kern w:val="0"/>
          <w:szCs w:val="21"/>
        </w:rPr>
        <w:t>.</w:t>
      </w:r>
    </w:p>
    <w:tbl>
      <w:tblPr>
        <w:tblStyle w:val="20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0"/>
        <w:gridCol w:w="516"/>
        <w:gridCol w:w="567"/>
        <w:gridCol w:w="807"/>
        <w:gridCol w:w="63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110" w:type="dxa"/>
          </w:tcPr>
          <w:p>
            <w:pPr>
              <w:pStyle w:val="34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Definitions for parameters</w:t>
            </w:r>
          </w:p>
        </w:tc>
        <w:tc>
          <w:tcPr>
            <w:tcW w:w="516" w:type="dxa"/>
          </w:tcPr>
          <w:p>
            <w:pPr>
              <w:pStyle w:val="34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Per</w:t>
            </w:r>
          </w:p>
        </w:tc>
        <w:tc>
          <w:tcPr>
            <w:tcW w:w="567" w:type="dxa"/>
          </w:tcPr>
          <w:p>
            <w:pPr>
              <w:pStyle w:val="34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M</w:t>
            </w:r>
          </w:p>
        </w:tc>
        <w:tc>
          <w:tcPr>
            <w:tcW w:w="807" w:type="dxa"/>
          </w:tcPr>
          <w:p>
            <w:pPr>
              <w:pStyle w:val="34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FDD-TDD</w:t>
            </w:r>
          </w:p>
          <w:p>
            <w:pPr>
              <w:pStyle w:val="34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DIFF</w:t>
            </w:r>
          </w:p>
        </w:tc>
        <w:tc>
          <w:tcPr>
            <w:tcW w:w="630" w:type="dxa"/>
          </w:tcPr>
          <w:p>
            <w:pPr>
              <w:pStyle w:val="34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FR1-FR2</w:t>
            </w:r>
          </w:p>
          <w:p>
            <w:pPr>
              <w:pStyle w:val="34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7110" w:type="dxa"/>
          </w:tcPr>
          <w:p>
            <w:pPr>
              <w:pStyle w:val="36"/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  <w:t>demodulationEnhancement-r16</w:t>
            </w:r>
          </w:p>
          <w:p>
            <w:pPr>
              <w:pStyle w:val="36"/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  <w:t>Indicates whether the UE supports the enhanced demodulation processing for HST-SFN joint transmission scheme with velocity up to 500km/h as specified in TS 38.101-4 [18]. This field applies to MN configured demodulation enhancement when MR-DC is not configured and SN configured demodulation enhancement when (NG)EN-DC is configured.</w:t>
            </w:r>
          </w:p>
        </w:tc>
        <w:tc>
          <w:tcPr>
            <w:tcW w:w="516" w:type="dxa"/>
          </w:tcPr>
          <w:p>
            <w:pPr>
              <w:pStyle w:val="36"/>
              <w:jc w:val="center"/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lang w:eastAsia="zh-CN"/>
              </w:rPr>
              <w:t>UE</w:t>
            </w:r>
          </w:p>
        </w:tc>
        <w:tc>
          <w:tcPr>
            <w:tcW w:w="567" w:type="dxa"/>
          </w:tcPr>
          <w:p>
            <w:pPr>
              <w:pStyle w:val="36"/>
              <w:jc w:val="center"/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  <w:t>TBD</w:t>
            </w:r>
          </w:p>
        </w:tc>
        <w:tc>
          <w:tcPr>
            <w:tcW w:w="807" w:type="dxa"/>
          </w:tcPr>
          <w:p>
            <w:pPr>
              <w:pStyle w:val="36"/>
              <w:jc w:val="center"/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  <w:t>No</w:t>
            </w:r>
          </w:p>
        </w:tc>
        <w:tc>
          <w:tcPr>
            <w:tcW w:w="630" w:type="dxa"/>
          </w:tcPr>
          <w:p>
            <w:pPr>
              <w:pStyle w:val="36"/>
              <w:jc w:val="center"/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Cs/>
                <w:sz w:val="21"/>
                <w:szCs w:val="21"/>
                <w:lang w:eastAsia="zh-CN"/>
              </w:rPr>
              <w:t>FR1 only</w:t>
            </w:r>
          </w:p>
        </w:tc>
      </w:tr>
    </w:tbl>
    <w:p>
      <w:pPr>
        <w:pStyle w:val="29"/>
        <w:suppressAutoHyphens/>
        <w:ind w:firstLine="0" w:firstLineChars="0"/>
        <w:rPr>
          <w:rFonts w:hint="eastAsia" w:ascii="Times New Roman" w:hAnsi="Times New Roman"/>
          <w:b/>
          <w:bCs w:val="0"/>
          <w:kern w:val="0"/>
          <w:szCs w:val="21"/>
          <w:lang w:val="en-US" w:eastAsia="zh-CN"/>
        </w:rPr>
      </w:pPr>
    </w:p>
    <w:p>
      <w:pPr>
        <w:pStyle w:val="29"/>
        <w:suppressAutoHyphens/>
        <w:ind w:firstLine="0" w:firstLineChars="0"/>
        <w:rPr>
          <w:rFonts w:hint="eastAsia" w:ascii="Times New Roman" w:hAnsi="Times New Roman"/>
          <w:b/>
          <w:bCs w:val="0"/>
          <w:kern w:val="0"/>
          <w:szCs w:val="21"/>
          <w:lang w:val="en-US" w:eastAsia="zh-CN"/>
        </w:rPr>
      </w:pPr>
      <w:r>
        <w:rPr>
          <w:rFonts w:hint="eastAsia" w:ascii="Times New Roman" w:hAnsi="Times New Roman"/>
          <w:b/>
          <w:bCs w:val="0"/>
          <w:kern w:val="0"/>
          <w:szCs w:val="21"/>
          <w:lang w:val="en-US" w:eastAsia="zh-CN"/>
        </w:rPr>
        <w:t xml:space="preserve">Proposal 1: </w:t>
      </w:r>
      <w:r>
        <w:rPr>
          <w:rFonts w:hint="eastAsia" w:ascii="Times New Roman" w:hAnsi="Times New Roman"/>
          <w:b/>
          <w:bCs w:val="0"/>
          <w:i w:val="0"/>
          <w:iCs w:val="0"/>
          <w:kern w:val="0"/>
          <w:sz w:val="21"/>
          <w:szCs w:val="21"/>
          <w:lang w:val="en-US" w:eastAsia="zh-CN"/>
        </w:rPr>
        <w:t>Existing UE capability can cover CA scenario.</w:t>
      </w:r>
      <w:r>
        <w:rPr>
          <w:rFonts w:hint="eastAsia" w:ascii="Times New Roman" w:hAnsi="Times New Roman" w:eastAsia="宋体"/>
          <w:b/>
          <w:bCs w:val="0"/>
          <w:i w:val="0"/>
          <w:iCs w:val="0"/>
          <w:kern w:val="0"/>
          <w:sz w:val="21"/>
          <w:szCs w:val="21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rPr>
          <w:rFonts w:eastAsia="宋体"/>
          <w:bCs/>
          <w:sz w:val="21"/>
          <w:szCs w:val="21"/>
          <w:lang w:eastAsia="zh-CN"/>
        </w:rPr>
      </w:pPr>
      <w:r>
        <w:rPr>
          <w:rFonts w:hint="eastAsia" w:eastAsia="宋体"/>
          <w:bCs/>
          <w:sz w:val="21"/>
          <w:szCs w:val="21"/>
          <w:lang w:eastAsia="zh-CN"/>
        </w:rPr>
        <w:t xml:space="preserve">In this contribution, we provide the view and analysis on </w:t>
      </w:r>
      <w:r>
        <w:rPr>
          <w:rFonts w:hint="eastAsia" w:eastAsia="宋体"/>
          <w:bCs/>
          <w:sz w:val="21"/>
          <w:szCs w:val="21"/>
          <w:lang w:val="en-US" w:eastAsia="zh-CN"/>
        </w:rPr>
        <w:t>d</w:t>
      </w:r>
      <w:r>
        <w:rPr>
          <w:rFonts w:hint="eastAsia" w:eastAsia="宋体"/>
          <w:bCs/>
          <w:sz w:val="21"/>
          <w:szCs w:val="21"/>
          <w:lang w:eastAsia="zh-CN"/>
        </w:rPr>
        <w:t xml:space="preserve">iscussion </w:t>
      </w:r>
      <w:r>
        <w:rPr>
          <w:rFonts w:hint="eastAsia" w:eastAsia="宋体"/>
          <w:bCs/>
          <w:sz w:val="21"/>
          <w:szCs w:val="21"/>
          <w:lang w:val="en-US" w:eastAsia="zh-CN"/>
        </w:rPr>
        <w:t xml:space="preserve">on PDSCH requirements for CA for FR1 </w:t>
      </w:r>
      <w:r>
        <w:rPr>
          <w:rFonts w:hint="eastAsia" w:eastAsia="宋体"/>
          <w:bCs/>
          <w:sz w:val="21"/>
          <w:szCs w:val="21"/>
          <w:lang w:eastAsia="zh-CN"/>
        </w:rPr>
        <w:t>HST, based on these analysis, the following proposals are given:</w:t>
      </w:r>
    </w:p>
    <w:p>
      <w:pPr>
        <w:pStyle w:val="29"/>
        <w:suppressAutoHyphens/>
        <w:ind w:firstLine="0" w:firstLineChars="0"/>
        <w:rPr>
          <w:rFonts w:hint="eastAsia" w:ascii="Times New Roman" w:hAnsi="Times New Roman"/>
          <w:b/>
          <w:bCs w:val="0"/>
          <w:kern w:val="0"/>
          <w:szCs w:val="21"/>
          <w:lang w:val="en-US" w:eastAsia="zh-CN"/>
        </w:rPr>
      </w:pPr>
      <w:r>
        <w:rPr>
          <w:rFonts w:hint="eastAsia" w:ascii="Times New Roman" w:hAnsi="Times New Roman"/>
          <w:b/>
          <w:bCs w:val="0"/>
          <w:kern w:val="0"/>
          <w:szCs w:val="21"/>
          <w:lang w:val="en-US" w:eastAsia="zh-CN"/>
        </w:rPr>
        <w:t xml:space="preserve">Proposal 1: </w:t>
      </w:r>
      <w:r>
        <w:rPr>
          <w:rFonts w:hint="eastAsia" w:ascii="Times New Roman" w:hAnsi="Times New Roman"/>
          <w:b/>
          <w:bCs w:val="0"/>
          <w:i w:val="0"/>
          <w:iCs w:val="0"/>
          <w:kern w:val="0"/>
          <w:sz w:val="21"/>
          <w:szCs w:val="21"/>
          <w:lang w:val="en-US" w:eastAsia="zh-CN"/>
        </w:rPr>
        <w:t>Existing UE capability can cover CA scenario.</w:t>
      </w:r>
      <w:r>
        <w:rPr>
          <w:rFonts w:hint="eastAsia" w:ascii="Times New Roman" w:hAnsi="Times New Roman" w:eastAsia="宋体"/>
          <w:b/>
          <w:bCs w:val="0"/>
          <w:i w:val="0"/>
          <w:iCs w:val="0"/>
          <w:kern w:val="0"/>
          <w:sz w:val="21"/>
          <w:szCs w:val="21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</w:pPr>
      <w:r>
        <w:rPr>
          <w:rFonts w:hint="eastAsia"/>
          <w:lang w:val="en-US"/>
        </w:rPr>
        <w:t>R4-210</w:t>
      </w:r>
      <w:r>
        <w:rPr>
          <w:rFonts w:hint="eastAsia"/>
          <w:lang w:val="en-US" w:eastAsia="zh-CN"/>
        </w:rPr>
        <w:t>6098</w:t>
      </w:r>
      <w:r>
        <w:rPr>
          <w:rFonts w:hint="eastAsia"/>
          <w:lang w:val="en-US"/>
        </w:rPr>
        <w:t xml:space="preserve"> WF on UE demodulation for FR1 HST</w:t>
      </w:r>
    </w:p>
    <w:p>
      <w:pPr>
        <w:pStyle w:val="10"/>
        <w:numPr>
          <w:ilvl w:val="-1"/>
          <w:numId w:val="0"/>
        </w:numPr>
        <w:ind w:left="0"/>
      </w:pPr>
    </w:p>
    <w:p>
      <w:pPr>
        <w:pStyle w:val="10"/>
        <w:numPr>
          <w:ilvl w:val="-1"/>
          <w:numId w:val="0"/>
        </w:numPr>
        <w:ind w:left="0"/>
      </w:pPr>
    </w:p>
    <w:p>
      <w:pPr>
        <w:pStyle w:val="10"/>
        <w:numPr>
          <w:ilvl w:val="0"/>
          <w:numId w:val="0"/>
        </w:num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1075CC8"/>
    <w:multiLevelType w:val="multilevel"/>
    <w:tmpl w:val="41075CC8"/>
    <w:lvl w:ilvl="0" w:tentative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hint="default" w:ascii="Arial" w:hAnsi="Arial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8B3BAA"/>
    <w:rsid w:val="02065A2E"/>
    <w:rsid w:val="0298367A"/>
    <w:rsid w:val="02D254EC"/>
    <w:rsid w:val="02FE5F82"/>
    <w:rsid w:val="032D5AEE"/>
    <w:rsid w:val="043D2559"/>
    <w:rsid w:val="0478015E"/>
    <w:rsid w:val="05510DD1"/>
    <w:rsid w:val="05776E8B"/>
    <w:rsid w:val="062A620F"/>
    <w:rsid w:val="07622262"/>
    <w:rsid w:val="07CD3CDD"/>
    <w:rsid w:val="09674661"/>
    <w:rsid w:val="097E672F"/>
    <w:rsid w:val="09AB6C45"/>
    <w:rsid w:val="0C953742"/>
    <w:rsid w:val="0D7F564D"/>
    <w:rsid w:val="0EAF7606"/>
    <w:rsid w:val="0F11785B"/>
    <w:rsid w:val="0F372967"/>
    <w:rsid w:val="114C0FFB"/>
    <w:rsid w:val="13F672DD"/>
    <w:rsid w:val="144E5CD4"/>
    <w:rsid w:val="15E95672"/>
    <w:rsid w:val="16271D63"/>
    <w:rsid w:val="16BD2FB9"/>
    <w:rsid w:val="16E7731D"/>
    <w:rsid w:val="1C3672FA"/>
    <w:rsid w:val="1DA251E1"/>
    <w:rsid w:val="1DA93704"/>
    <w:rsid w:val="1E385F3A"/>
    <w:rsid w:val="1F595BBB"/>
    <w:rsid w:val="1FD21E35"/>
    <w:rsid w:val="1FEE7A9C"/>
    <w:rsid w:val="2016401A"/>
    <w:rsid w:val="22B37446"/>
    <w:rsid w:val="235408E6"/>
    <w:rsid w:val="24715F69"/>
    <w:rsid w:val="24B140D4"/>
    <w:rsid w:val="25EF43C8"/>
    <w:rsid w:val="28EE7A07"/>
    <w:rsid w:val="2AEC42E5"/>
    <w:rsid w:val="2B034D47"/>
    <w:rsid w:val="2CE15438"/>
    <w:rsid w:val="2E1176AC"/>
    <w:rsid w:val="2ECB7AE0"/>
    <w:rsid w:val="2FB709C1"/>
    <w:rsid w:val="2FCE1329"/>
    <w:rsid w:val="317C5450"/>
    <w:rsid w:val="328D4D87"/>
    <w:rsid w:val="32A7311D"/>
    <w:rsid w:val="33021368"/>
    <w:rsid w:val="33491F36"/>
    <w:rsid w:val="36950F43"/>
    <w:rsid w:val="37235B21"/>
    <w:rsid w:val="3ACA79CB"/>
    <w:rsid w:val="3B1D04C9"/>
    <w:rsid w:val="3CC85F33"/>
    <w:rsid w:val="3D6F2596"/>
    <w:rsid w:val="3E3D115C"/>
    <w:rsid w:val="3EBA3F51"/>
    <w:rsid w:val="3ED90D52"/>
    <w:rsid w:val="3F4371E9"/>
    <w:rsid w:val="3FBE5D52"/>
    <w:rsid w:val="3FC36996"/>
    <w:rsid w:val="403917EB"/>
    <w:rsid w:val="404F7A6B"/>
    <w:rsid w:val="40705D5D"/>
    <w:rsid w:val="40C765F3"/>
    <w:rsid w:val="40F5225E"/>
    <w:rsid w:val="41256FB7"/>
    <w:rsid w:val="44D14F11"/>
    <w:rsid w:val="45F60A50"/>
    <w:rsid w:val="47745930"/>
    <w:rsid w:val="4853345A"/>
    <w:rsid w:val="48BB518A"/>
    <w:rsid w:val="490D3059"/>
    <w:rsid w:val="49500FEB"/>
    <w:rsid w:val="49F32E1B"/>
    <w:rsid w:val="4A0B7057"/>
    <w:rsid w:val="4A511B6E"/>
    <w:rsid w:val="4A7C4548"/>
    <w:rsid w:val="4B3B78F3"/>
    <w:rsid w:val="4B901389"/>
    <w:rsid w:val="4CBF03D6"/>
    <w:rsid w:val="4D513299"/>
    <w:rsid w:val="4E9A7FF9"/>
    <w:rsid w:val="4F047884"/>
    <w:rsid w:val="4F813AF7"/>
    <w:rsid w:val="4FBD6EC5"/>
    <w:rsid w:val="4FBF1AB2"/>
    <w:rsid w:val="505076EF"/>
    <w:rsid w:val="507D0078"/>
    <w:rsid w:val="513C5648"/>
    <w:rsid w:val="51B14BED"/>
    <w:rsid w:val="51FA3D86"/>
    <w:rsid w:val="52E20314"/>
    <w:rsid w:val="54104B49"/>
    <w:rsid w:val="54175BE1"/>
    <w:rsid w:val="55436523"/>
    <w:rsid w:val="55707853"/>
    <w:rsid w:val="55D53DDD"/>
    <w:rsid w:val="565631F5"/>
    <w:rsid w:val="56D74DEB"/>
    <w:rsid w:val="581B09AF"/>
    <w:rsid w:val="589F3533"/>
    <w:rsid w:val="5A535EAE"/>
    <w:rsid w:val="5A8F1C82"/>
    <w:rsid w:val="5AA04D8D"/>
    <w:rsid w:val="5B4026E8"/>
    <w:rsid w:val="608E2F6C"/>
    <w:rsid w:val="637947A5"/>
    <w:rsid w:val="639E78D5"/>
    <w:rsid w:val="63D0005D"/>
    <w:rsid w:val="64B7605C"/>
    <w:rsid w:val="652B096E"/>
    <w:rsid w:val="65813DD9"/>
    <w:rsid w:val="66E16576"/>
    <w:rsid w:val="66E33C2D"/>
    <w:rsid w:val="68233C28"/>
    <w:rsid w:val="6A2E4954"/>
    <w:rsid w:val="6AD94F47"/>
    <w:rsid w:val="6CDA49A3"/>
    <w:rsid w:val="6CF36133"/>
    <w:rsid w:val="6DDE3DAF"/>
    <w:rsid w:val="6E1735DC"/>
    <w:rsid w:val="70E13200"/>
    <w:rsid w:val="715D6D9A"/>
    <w:rsid w:val="715F4C2D"/>
    <w:rsid w:val="71F15707"/>
    <w:rsid w:val="72786535"/>
    <w:rsid w:val="740E5E75"/>
    <w:rsid w:val="755C4C37"/>
    <w:rsid w:val="76995F14"/>
    <w:rsid w:val="77B7237F"/>
    <w:rsid w:val="78271104"/>
    <w:rsid w:val="784B7472"/>
    <w:rsid w:val="785E02E1"/>
    <w:rsid w:val="797218E2"/>
    <w:rsid w:val="7AB05BBC"/>
    <w:rsid w:val="7AE36910"/>
    <w:rsid w:val="7BF8597E"/>
    <w:rsid w:val="7C14711B"/>
    <w:rsid w:val="7C312516"/>
    <w:rsid w:val="7C45431D"/>
    <w:rsid w:val="7C4A144B"/>
    <w:rsid w:val="7C963B24"/>
    <w:rsid w:val="7D0F4648"/>
    <w:rsid w:val="7DDD0501"/>
    <w:rsid w:val="7E2653BA"/>
    <w:rsid w:val="7E2B63E7"/>
    <w:rsid w:val="7E8B79FF"/>
    <w:rsid w:val="7E935AFB"/>
    <w:rsid w:val="7EC65AAB"/>
    <w:rsid w:val="7EDC73E6"/>
    <w:rsid w:val="7F50759A"/>
    <w:rsid w:val="7FC90A85"/>
    <w:rsid w:val="7FF5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annotation subject"/>
    <w:basedOn w:val="7"/>
    <w:next w:val="7"/>
    <w:link w:val="54"/>
    <w:semiHidden/>
    <w:unhideWhenUsed/>
    <w:qFormat/>
    <w:uiPriority w:val="99"/>
    <w:rPr>
      <w:b/>
      <w:bCs/>
    </w:rPr>
  </w:style>
  <w:style w:type="paragraph" w:styleId="7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9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character" w:styleId="18">
    <w:name w:val="Hyperlink"/>
    <w:qFormat/>
    <w:uiPriority w:val="99"/>
    <w:rPr>
      <w:color w:val="0000FF"/>
      <w:u w:val="single"/>
    </w:rPr>
  </w:style>
  <w:style w:type="character" w:styleId="19">
    <w:name w:val="annotation reference"/>
    <w:basedOn w:val="17"/>
    <w:semiHidden/>
    <w:unhideWhenUsed/>
    <w:qFormat/>
    <w:uiPriority w:val="99"/>
    <w:rPr>
      <w:sz w:val="16"/>
      <w:szCs w:val="16"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9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1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8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Comment Text Char"/>
    <w:basedOn w:val="17"/>
    <w:link w:val="7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Comment Subject Char"/>
    <w:basedOn w:val="53"/>
    <w:link w:val="6"/>
    <w:semiHidden/>
    <w:qFormat/>
    <w:uiPriority w:val="99"/>
    <w:rPr>
      <w:rFonts w:ascii="Times New Roman" w:hAnsi="Times New Roman" w:eastAsia="Times New Roman"/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675</Words>
  <Characters>3852</Characters>
  <Lines>32</Lines>
  <Paragraphs>9</Paragraphs>
  <TotalTime>10</TotalTime>
  <ScaleCrop>false</ScaleCrop>
  <LinksUpToDate>false</LinksUpToDate>
  <CharactersWithSpaces>4518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2021-05-11T07:17:45Z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